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28"/>
        <w:gridCol w:w="3046"/>
      </w:tblGrid>
      <w:tr w:rsidR="00CB29BD" w:rsidRPr="00CB29BD" w:rsidTr="00296855">
        <w:trPr>
          <w:trHeight w:val="495"/>
          <w:jc w:val="center"/>
        </w:trPr>
        <w:tc>
          <w:tcPr>
            <w:tcW w:w="5728" w:type="dxa"/>
            <w:shd w:val="clear" w:color="auto" w:fill="D6E3BC" w:themeFill="accent3" w:themeFillTint="66"/>
            <w:vAlign w:val="center"/>
          </w:tcPr>
          <w:p w:rsidR="00043E97" w:rsidRPr="00CB29BD" w:rsidRDefault="00043E97" w:rsidP="005455A6">
            <w:pPr>
              <w:tabs>
                <w:tab w:val="left" w:pos="216"/>
              </w:tabs>
              <w:ind w:left="7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bookmarkStart w:id="0" w:name="_GoBack"/>
            <w:bookmarkEnd w:id="0"/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Tipo de Sujeto obligado:</w:t>
            </w:r>
          </w:p>
        </w:tc>
        <w:tc>
          <w:tcPr>
            <w:tcW w:w="3046" w:type="dxa"/>
            <w:shd w:val="clear" w:color="auto" w:fill="D6E3BC" w:themeFill="accent3" w:themeFillTint="66"/>
            <w:vAlign w:val="center"/>
          </w:tcPr>
          <w:p w:rsidR="00043E97" w:rsidRPr="00CB29BD" w:rsidRDefault="00043E97" w:rsidP="005455A6">
            <w:pPr>
              <w:tabs>
                <w:tab w:val="left" w:pos="216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Documento de origen:</w:t>
            </w:r>
          </w:p>
        </w:tc>
      </w:tr>
      <w:tr w:rsidR="00CB29BD" w:rsidRPr="00CB29BD" w:rsidTr="00296855">
        <w:trPr>
          <w:trHeight w:val="191"/>
          <w:jc w:val="center"/>
        </w:trPr>
        <w:tc>
          <w:tcPr>
            <w:tcW w:w="5728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Administración Centralizada</w:t>
            </w:r>
          </w:p>
        </w:tc>
        <w:tc>
          <w:tcPr>
            <w:tcW w:w="3046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</w:p>
        </w:tc>
      </w:tr>
      <w:tr w:rsidR="00CB29BD" w:rsidRPr="00CB29BD" w:rsidTr="00296855">
        <w:trPr>
          <w:trHeight w:val="191"/>
          <w:jc w:val="center"/>
        </w:trPr>
        <w:tc>
          <w:tcPr>
            <w:tcW w:w="5728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Desconcentrado</w:t>
            </w:r>
          </w:p>
        </w:tc>
        <w:tc>
          <w:tcPr>
            <w:tcW w:w="3046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</w:p>
        </w:tc>
      </w:tr>
      <w:tr w:rsidR="00CB29BD" w:rsidRPr="00CB29BD" w:rsidTr="00296855">
        <w:trPr>
          <w:trHeight w:val="191"/>
          <w:jc w:val="center"/>
        </w:trPr>
        <w:tc>
          <w:tcPr>
            <w:tcW w:w="5728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Descentralizado</w:t>
            </w:r>
          </w:p>
        </w:tc>
        <w:tc>
          <w:tcPr>
            <w:tcW w:w="3046" w:type="dxa"/>
          </w:tcPr>
          <w:p w:rsidR="00043E97" w:rsidRPr="00CB29BD" w:rsidRDefault="00C65E44" w:rsidP="00AB50CA">
            <w:pPr>
              <w:tabs>
                <w:tab w:val="left" w:pos="216"/>
              </w:tabs>
              <w:ind w:right="34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DECRETO DE CREACIÓN</w:t>
            </w:r>
          </w:p>
        </w:tc>
      </w:tr>
      <w:tr w:rsidR="00CB29BD" w:rsidRPr="00CB29BD" w:rsidTr="00296855">
        <w:trPr>
          <w:trHeight w:val="174"/>
          <w:jc w:val="center"/>
        </w:trPr>
        <w:tc>
          <w:tcPr>
            <w:tcW w:w="5728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Empresa de Participación Estatal Mayoritaria</w:t>
            </w:r>
          </w:p>
        </w:tc>
        <w:tc>
          <w:tcPr>
            <w:tcW w:w="3046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</w:p>
        </w:tc>
      </w:tr>
      <w:tr w:rsidR="00043E97" w:rsidRPr="00CB29BD" w:rsidTr="00296855">
        <w:trPr>
          <w:trHeight w:val="210"/>
          <w:jc w:val="center"/>
        </w:trPr>
        <w:tc>
          <w:tcPr>
            <w:tcW w:w="5728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  <w:r w:rsidRPr="00CB29B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  <w:t>Fideicomisos, Fondos y Mandatos</w:t>
            </w:r>
          </w:p>
        </w:tc>
        <w:tc>
          <w:tcPr>
            <w:tcW w:w="3046" w:type="dxa"/>
          </w:tcPr>
          <w:p w:rsidR="00043E97" w:rsidRPr="00CB29BD" w:rsidRDefault="00043E97" w:rsidP="005455A6">
            <w:pPr>
              <w:tabs>
                <w:tab w:val="left" w:pos="216"/>
              </w:tabs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s-MX"/>
              </w:rPr>
            </w:pPr>
          </w:p>
        </w:tc>
      </w:tr>
    </w:tbl>
    <w:p w:rsidR="00043E97" w:rsidRPr="00CB29BD" w:rsidRDefault="00043E97" w:rsidP="00043E97">
      <w:pPr>
        <w:tabs>
          <w:tab w:val="left" w:pos="216"/>
        </w:tabs>
        <w:spacing w:after="0" w:line="240" w:lineRule="auto"/>
        <w:ind w:left="70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351"/>
        <w:gridCol w:w="1043"/>
        <w:gridCol w:w="2090"/>
        <w:gridCol w:w="1940"/>
        <w:gridCol w:w="1790"/>
        <w:gridCol w:w="2239"/>
        <w:gridCol w:w="1043"/>
      </w:tblGrid>
      <w:tr w:rsidR="00CB29BD" w:rsidRPr="00CB29BD" w:rsidTr="00CB29BD">
        <w:trPr>
          <w:cantSplit/>
          <w:trHeight w:val="836"/>
          <w:tblHeader/>
          <w:jc w:val="center"/>
        </w:trPr>
        <w:tc>
          <w:tcPr>
            <w:tcW w:w="1489" w:type="dxa"/>
            <w:shd w:val="clear" w:color="auto" w:fill="D6E3BC" w:themeFill="accent3" w:themeFillTint="66"/>
            <w:noWrap/>
            <w:vAlign w:val="center"/>
            <w:hideMark/>
          </w:tcPr>
          <w:p w:rsidR="00140F5E" w:rsidRPr="00CB29BD" w:rsidRDefault="00140F5E" w:rsidP="00DF2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ARTÍCULO</w:t>
            </w:r>
          </w:p>
        </w:tc>
        <w:tc>
          <w:tcPr>
            <w:tcW w:w="3351" w:type="dxa"/>
            <w:shd w:val="clear" w:color="auto" w:fill="D6E3BC" w:themeFill="accent3" w:themeFillTint="66"/>
            <w:vAlign w:val="center"/>
            <w:hideMark/>
          </w:tcPr>
          <w:p w:rsidR="00140F5E" w:rsidRPr="00CB29BD" w:rsidRDefault="00140F5E" w:rsidP="00DF2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FRACCIÓN</w:t>
            </w:r>
          </w:p>
        </w:tc>
        <w:tc>
          <w:tcPr>
            <w:tcW w:w="1043" w:type="dxa"/>
            <w:shd w:val="clear" w:color="auto" w:fill="D6E3BC" w:themeFill="accent3" w:themeFillTint="66"/>
            <w:vAlign w:val="center"/>
          </w:tcPr>
          <w:p w:rsidR="00140F5E" w:rsidRPr="00CB29BD" w:rsidRDefault="00140F5E" w:rsidP="00E774C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APLICA/NO APLICA</w:t>
            </w:r>
          </w:p>
        </w:tc>
        <w:tc>
          <w:tcPr>
            <w:tcW w:w="2090" w:type="dxa"/>
            <w:shd w:val="clear" w:color="auto" w:fill="D6E3BC" w:themeFill="accent3" w:themeFillTint="66"/>
            <w:vAlign w:val="center"/>
          </w:tcPr>
          <w:p w:rsidR="00140F5E" w:rsidRPr="00CB29BD" w:rsidRDefault="00140F5E" w:rsidP="00E435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MOTIVACIÓN</w:t>
            </w:r>
          </w:p>
        </w:tc>
        <w:tc>
          <w:tcPr>
            <w:tcW w:w="1940" w:type="dxa"/>
            <w:shd w:val="clear" w:color="auto" w:fill="D6E3BC" w:themeFill="accent3" w:themeFillTint="66"/>
            <w:vAlign w:val="center"/>
          </w:tcPr>
          <w:p w:rsidR="00140F5E" w:rsidRPr="00CB29BD" w:rsidRDefault="00140F5E" w:rsidP="00E435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FUNDAMENTO</w:t>
            </w:r>
          </w:p>
        </w:tc>
        <w:tc>
          <w:tcPr>
            <w:tcW w:w="1790" w:type="dxa"/>
            <w:shd w:val="clear" w:color="auto" w:fill="D6E3BC" w:themeFill="accent3" w:themeFillTint="66"/>
            <w:vAlign w:val="center"/>
          </w:tcPr>
          <w:p w:rsidR="00140F5E" w:rsidRPr="00CB29BD" w:rsidRDefault="00140F5E" w:rsidP="00D041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UNIDAD ADMINISTRATIVA RESPONSABLE DE GENERAR LA INFORMACIÓN</w:t>
            </w:r>
          </w:p>
        </w:tc>
        <w:tc>
          <w:tcPr>
            <w:tcW w:w="2239" w:type="dxa"/>
            <w:shd w:val="clear" w:color="auto" w:fill="D6E3BC" w:themeFill="accent3" w:themeFillTint="66"/>
            <w:vAlign w:val="center"/>
          </w:tcPr>
          <w:p w:rsidR="00140F5E" w:rsidRPr="00CB29BD" w:rsidRDefault="00140F5E" w:rsidP="00140F5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OBSERVACIONES</w:t>
            </w:r>
          </w:p>
        </w:tc>
        <w:tc>
          <w:tcPr>
            <w:tcW w:w="1043" w:type="dxa"/>
            <w:shd w:val="clear" w:color="auto" w:fill="D6E3BC" w:themeFill="accent3" w:themeFillTint="66"/>
            <w:vAlign w:val="center"/>
          </w:tcPr>
          <w:p w:rsidR="00140F5E" w:rsidRPr="00CB29BD" w:rsidRDefault="00140F5E" w:rsidP="00F249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VALIDACIÓN IAIP</w:t>
            </w:r>
          </w:p>
        </w:tc>
      </w:tr>
      <w:tr w:rsidR="00CB29BD" w:rsidRPr="00CB29BD" w:rsidTr="00CB29BD">
        <w:trPr>
          <w:cantSplit/>
          <w:trHeight w:val="652"/>
          <w:jc w:val="center"/>
        </w:trPr>
        <w:tc>
          <w:tcPr>
            <w:tcW w:w="1489" w:type="dxa"/>
            <w:vMerge w:val="restart"/>
            <w:shd w:val="clear" w:color="auto" w:fill="auto"/>
            <w:vAlign w:val="center"/>
            <w:hideMark/>
          </w:tcPr>
          <w:p w:rsidR="00140F5E" w:rsidRPr="00CB29BD" w:rsidRDefault="00140F5E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 xml:space="preserve">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lastRenderedPageBreak/>
              <w:t>señalan:</w:t>
            </w:r>
          </w:p>
          <w:p w:rsidR="00140F5E" w:rsidRPr="00CB29BD" w:rsidRDefault="00140F5E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40F5E" w:rsidRPr="00CB29BD" w:rsidRDefault="00140F5E" w:rsidP="00DF2BB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 xml:space="preserve">Fracción 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marco normativo aplicable al sujeto obligado, en el que deberá incluirse leyes, códigos, reglamentos, decretos de creación, manuales administrativos, reglas de operación, criterios, políticas, entre otros;</w:t>
            </w:r>
          </w:p>
          <w:p w:rsidR="00140F5E" w:rsidRPr="00CB29BD" w:rsidRDefault="00140F5E" w:rsidP="00DF2BB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40F5E" w:rsidRPr="00CB29BD" w:rsidRDefault="00140F5E" w:rsidP="00E774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40F5E" w:rsidRPr="00CB29BD" w:rsidRDefault="00140F5E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140F5E" w:rsidRPr="00CB29BD" w:rsidRDefault="00140F5E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40F5E" w:rsidRPr="00CB29BD" w:rsidRDefault="00F657E2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ABOGADO GENERAL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40F5E" w:rsidRPr="00CB29BD" w:rsidRDefault="00D70A2B" w:rsidP="00E42D42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TODAS LAS LEYES CORRELATIVAS, DESDE LA LEGILACIÓN FEDERA</w:t>
            </w:r>
            <w:r w:rsidR="00E42D42"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</w:t>
            </w: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 HASTA NORMATIVIDAD INTERNA.</w:t>
            </w:r>
          </w:p>
        </w:tc>
        <w:tc>
          <w:tcPr>
            <w:tcW w:w="1043" w:type="dxa"/>
            <w:shd w:val="clear" w:color="auto" w:fill="auto"/>
          </w:tcPr>
          <w:p w:rsidR="00140F5E" w:rsidRPr="00CB29BD" w:rsidRDefault="00CB29BD" w:rsidP="009025F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962"/>
          <w:jc w:val="center"/>
        </w:trPr>
        <w:tc>
          <w:tcPr>
            <w:tcW w:w="1489" w:type="dxa"/>
            <w:vMerge/>
            <w:shd w:val="clear" w:color="auto" w:fill="auto"/>
            <w:vAlign w:val="center"/>
            <w:hideMark/>
          </w:tcPr>
          <w:p w:rsidR="00CB29BD" w:rsidRPr="00CB29BD" w:rsidRDefault="00CB29BD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4C4EBE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Su estructura orgánica completa, en un formato que permita vincular cada parte de la estructura, las atribuciones y responsabilidades que le corresponden a cada servidor público, prestador de servicios profesionales o miembro de los sujetos obligados, de conformidad con las disposiciones aplicables;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E774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EL ORGANIGRAMA DE LA UNIVERSIDAD DE LA CAÑADA  ACTUALIZADO.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471"/>
          <w:jc w:val="center"/>
        </w:trPr>
        <w:tc>
          <w:tcPr>
            <w:tcW w:w="1489" w:type="dxa"/>
            <w:vMerge/>
            <w:shd w:val="clear" w:color="auto" w:fill="auto"/>
            <w:vAlign w:val="center"/>
            <w:hideMark/>
          </w:tcPr>
          <w:p w:rsidR="00CB29BD" w:rsidRPr="00CB29BD" w:rsidRDefault="00CB29BD" w:rsidP="009025F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9025F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facultades de cada Área;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9025F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9025F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9025F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9025F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9025F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LAS FACULTADES DE CADA ÁREA.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589"/>
          <w:jc w:val="center"/>
        </w:trPr>
        <w:tc>
          <w:tcPr>
            <w:tcW w:w="1489" w:type="dxa"/>
            <w:vMerge/>
            <w:shd w:val="clear" w:color="auto" w:fill="auto"/>
            <w:vAlign w:val="center"/>
            <w:hideMark/>
          </w:tcPr>
          <w:p w:rsidR="00CB29BD" w:rsidRPr="00CB29BD" w:rsidRDefault="00CB29BD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DF2BB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IV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metas y objetivos de las Áreas de conformidad con sus programas operativos;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E774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FINANCIEROS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REFERENTE AL PROGRAMA OPERATIVO ANUAL.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722"/>
          <w:jc w:val="center"/>
        </w:trPr>
        <w:tc>
          <w:tcPr>
            <w:tcW w:w="1489" w:type="dxa"/>
            <w:vMerge/>
            <w:shd w:val="clear" w:color="auto" w:fill="auto"/>
            <w:vAlign w:val="center"/>
            <w:hideMark/>
          </w:tcPr>
          <w:p w:rsidR="00CB29BD" w:rsidRPr="00CB29BD" w:rsidRDefault="00CB29BD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DF2BB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Fracción V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 xml:space="preserve"> Los indicadores relacionados con temas de interés público o trascendencia social que conforme a sus funciones, deban establecer;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E774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DE ADMINISTRACIÓN Y VICE-RECTORÍA ACADÉMICA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INDICADORES Y METAS DFINIDOS POR LA VICE-RECTORÍA DE ADMINISTRACIÓN Y LA VICE-RECTORÍA ACADÉMICA.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498"/>
          <w:jc w:val="center"/>
        </w:trPr>
        <w:tc>
          <w:tcPr>
            <w:tcW w:w="1489" w:type="dxa"/>
            <w:vMerge/>
            <w:shd w:val="clear" w:color="auto" w:fill="auto"/>
            <w:vAlign w:val="center"/>
            <w:hideMark/>
          </w:tcPr>
          <w:p w:rsidR="00CB29BD" w:rsidRPr="00CB29BD" w:rsidRDefault="00CB29BD" w:rsidP="0009709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DF2BB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VI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indicadores que permitan rendir cuenta de sus objetivos y resultados;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E774C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6939A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ACADÉMICA Y VICE-RECTORIA ADMINISTRATIVA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INDICADORES RELACIONADOS CON EL FIN DE LA INSTITUCION, LA CUAL ES IMPARTIR EDUCACIÓN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45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VII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directorio de todos los Servidores Públicos, a partir del nivel de jefe de departamento o su equivalente, o de menor nivel, cuando se brinde atención al público; manejen o apliquen recursos públicos; realicen actos de autoridad o presten servicios profesionales bajo el régimen de confianza u honorarios y 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EL DIRECTORIO DE SERVIDORES PUBLICOS QUE LABORAN EN LA UNIVERSIDAD DE LA CAÑADA.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225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VIII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 remuneración bruta y neta de todos los Servidores Públicos de base o de confianza, de todas las percepciones, incluyendo sueldos, prestaciones, gratificaciones, primas, comisiones, dietas, bonos, estímulos, ingresos y sistemas de compensación, señalando la periodicidad de dicha remuneración;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TABULADOR DE SUELDOS Y SALARIOS, PRESTACIONES, ESTIMULOS, ETC. INCLUYENTO A LOS DE HONORARIOS.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444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IX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gastos de representación y viáticos, así como el objeto e informe de comisión correspondiente;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4C4EB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FINANCIEROS Y 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SE PUBLICARÁ EL REPORTE EMITIVO POR EL SISTEMA “VIATIC”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544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>El número total de las plazas y del personal de base y confianza, especificando el total de las vacantes, por nivel de puesto, para cada unidad administrativa;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LISTADO DEL NÚMERO DE PLAZAS DE BASE Y DE CONFIANZA, ESPECIFICANDO LAS VACANTES POR NIVEL DE PUESTO. ESTE DEBE ESTAR ALINEADO AL ORGANIGRAMA.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28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contrataciones de servicios profesionales por honorarios, señalando los nombres de los prestadores de servicios, los servicios contratados, el monto de los honorarios y el periodo de contratación;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044A8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4C4EB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01A6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 LA FECHA EN LA UNIVERSIDAD DE LA CAÑADA NO SE HAN TENIDO CONTRATOS POR HONORARIOS Y HONORARIOS ASIMILABLES A SUELDOS.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23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 información en Versión Pública de las declaraciones patrimoniales de los Servidores Públicos que así lo determinen, en los sistemas habilitados para ello, de acuerdo a la normatividad aplicable;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621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theme="minorHAnsi"/>
                <w:b/>
                <w:sz w:val="16"/>
                <w:szCs w:val="16"/>
                <w:lang w:eastAsia="es-MX"/>
              </w:rPr>
              <w:t xml:space="preserve"> 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48532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 xml:space="preserve">LA SECRETARIA DE LA CONTRALORIA Y TRANSPARENCIA GUBERNAMENTAL DEL ESTADO DE OAXACA ES EL ENTE RESPONSABLE DE CONCENTRAR ESTA INFORMACIÓN, DE ACUERDO AL </w:t>
            </w: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ARTICULO 47 FRACCION XIV DE LA LEY ORGANICA DEL PODER EJECUTIVO DEL ESTADO DE OAXACA</w:t>
            </w: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 xml:space="preserve">. EL LINK DE ESTA DEPENDENCIA ES: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6"/>
                <w:lang w:eastAsia="es-MX"/>
              </w:rPr>
              <w:t>ARTICULO 47 FRACCION XIV DE LA LEY ORGANICA DEL PODER EJECUTIVO DEL ESTADO DE OAXACA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BE6DE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>www.contraloria.oaxaca.gob.mx/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58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domicilio de la Unidad de Transparencia, además de la dirección electrónica donde podrán recibirse las solicitudes para obtener la información;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TITULAR DE LA UNIDAD DE TRANSPARENCIA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INFORMACIÓN DE CONTACTO DEL TITULAR Y ENCARGADO DE LA UNIDAD DE </w:t>
            </w: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TRANSPARENCIA</w:t>
            </w: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4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XIV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convocatorias a concursos para ocupar cargos públicos y los resultados de los mismos;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621EA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theme="minorHAnsi"/>
                <w:b/>
                <w:sz w:val="16"/>
                <w:szCs w:val="18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9B1A1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9B1A11">
            <w:pPr>
              <w:spacing w:after="0" w:line="240" w:lineRule="auto"/>
              <w:rPr>
                <w:rStyle w:val="nfasissutil"/>
                <w:color w:val="auto"/>
                <w:sz w:val="16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BE6DE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BE6DE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EL PROCEDIMIENTO DE ADMISIÓN ESTABLECIDO EN LA NORMATIVIDAD UNIVERSITARIA.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42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Fracción XV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 xml:space="preserve"> La información de los programas de subsidios, estímulos y apoyos, en el que se deberá informar respecto de los programas de transferencia, de servicios, de infraestructura social y de subsidio, en los que se deberá contener lo siguiente: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>...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SERVICIOS ESCOLARES, VICE-RECTORÍA DE ADMINISTRACIÓN Y DEPARTAMENTO DE RECURSOS FINANCIEROS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9465D5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DE LAS BECAS A LAS QUE TENGAN ACCESO LOS ALUMNOS DE LA UNIVERSIDAD DE LA CAÑADA, POR EJEMPLO: ALIMENTARIAS, PRONABES, TELMEX, ETC.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924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XVI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 Y 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CA700E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TODA LA NORMATIVIDAD QUE REGULE LAS CONDICIONES LABORALES DE LOS TRABAJADORES DE LA UNIVERSIDAD, DESDE LA LEGISLACIÓN FEDERAL HASTA LA NORMAVITIVIDAD INTERNA.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04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Fracción XVII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 w:type="page"/>
              <w:t xml:space="preserve"> La información curricular, desde el nivel de jefe de departamento o equivalente, hasta el titular del sujeto obligado, así como, en su caso, las sanciones administrativas de que haya sido objeto;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4B1DBA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PÚBLICA DEL CURRICULUM DE CADA SERVIDOR PÚBLICO QUE LABORA EN LA UNIVERSIDAD DE LA CAÑADA DE ACUERDO AL ORGANIGRAMA Y MANUAL DE ORGANIZACIÓN.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2076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XVIII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listado de Servidores Públicos con sanciones administrativas definitivas, especificando la causa de sanción y la disposición;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 LA FECHA LA UNIVERSIDAD DE LA CAÑADA NO HA RECIBIDO SANCIONES ADMINISTRATIVAS DEFINITIVAS DE PARTE DE LA SECRETARIA DE LA CONTRALORÍA Y TRANSPARENCIA GUBERNAMENTARIA DEL ESTADO DE OAXACA.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389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XIX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servicios que ofrecen señalando los requisitos para acceder a ellos;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SERVICIOS ESCOLARES, BIBLIOTECA Y LIBRERÍA UNIVERSITARIA, COORD DE PROMOCIÓN DEL DESARROLLO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LOS SERVICIOS OFRECIDOS EN LA UNIVERSIDAD DE LA CAÑADA.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1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trámites, requisitos y formatos que ofrecen;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SERVICIOS ESCOLARES, COORD DE PROMOCIÓN AL DESARROLLO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LOS TRÁMITES OFRECIDOS EN LA UNIVERSIDAD DE LA CAÑADA.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774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FINANCIEROS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TODA LA INFORMACIÓN FINANCIERA SOBRE EL PRESUPUESTO ASIGNADO A LA UNIVERSIDAD DE LA CAÑADA.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85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 información relativa a la deuda pública, en términos de la normatividad aplicable;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LA INFORMACIÓN RELATIVA A ESTA FRACCIÓN NO CORRESPONDE A LAS ATRIBUCIONES DE ESTE SUJETO OBLIGADO CONTENIDAS EN LA LEY ORGÁNICA DEL PODER EJECUTIVO DEL ESTADO DE OAXACA NI EN SU REGLAMENTO INTERNO. 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ARTÍCULOS 3 Y 5 DE LA LEY DE DEUDA PÚBLICA DEL GOBIERNO DEL ESTADO DE OAXACA.</w:t>
            </w:r>
          </w:p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14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 RECTORÍA DE ADMINISTRACION, VICE-RECTORÍA ACADÉMICA, DEPARTAMENTO DE RECURSOS MATERIALES Y DEPARTAMENTO DE RECURSOS FINANCIEROS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QUE DETALLA LOS GASTOS EJECUTADOS RELATIVOS A PROMOCIÓN DE LA UNIVERSIDAD.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79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XXIV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AUDITORÍA INTERNA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RESULTADOS DE LAS AUDITORÍAS REALIZADAS A LA UNIVERSIDAD Y EN SU DEFECTO LAS ACLARACIONES QUE CORRESPONDAN.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2871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resultado de la dictaminación de los estados financieros;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>LA FINALIDAD DE LA DICTAMINACION DE ESTADOS FINANCIEROS ES LA DETERMINACION DE DIFERENCIAS DE IMPUESTOS A PAGAR, COMO LO INDICA EL PARRAFO CUARTO DEL ARTICULO 32 A DEL CODIGO FISCAL DE LA FEDERACION Y SIENDO LA UNIVERSIDAD DE LA CAÑADA UN ORGANISMO PUBLICO DESCENTRALIZADO DEL GOBIERNO ESTATAL CUYA FINALIDAD ES IMPARTIR EDUCACION SUPERIOR SIN FINES DE LUCRO; NO ESTA OBLIGADO A LA DICTAMINACION DE SUS ESTADOS FINANCIEROS YA QUE LA DICTAMINACION ES OPTATIVA.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ARTÍCULO 4 DEL DECRETO DE CREACIÓN DE LA UNIVERSIDAD DE LA CAÑADA Y ARTÍCULO 32-A DEL CÓDIGO FISCAL DE LA FEDERACIÓN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936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XXVI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8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8"/>
                <w:lang w:eastAsia="es-MX"/>
              </w:rPr>
              <w:t>VICE RECTORIA ADMINISTRATIVA, COMITÉ DE ADQUISICIONES Y COMITÉ DE OBRAS PÚBLICAS.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811BB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29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XXVII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CONSEJO ACADÉMICO Y 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LA INFORMACIÓN REFERENTE A LAS CONCESIONES REALIZADAS, COMO LA DE LA CAFETERÍA DE LA UNIVERSIDAD.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04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XXVIII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siguiente:…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DE ADMINISTRACIÓN, COMITÉ DE OBRAS Y COMITÉ DE COMPRAS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91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XXIX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 xml:space="preserve">Los informes que por disposición legal generen los sujetos obligados; 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TODAS LAS ÁREAS Y DEPARTAMENTOS DE LA UNIVERSIDAD DE LA CAÑADA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TODOS LOS INFORMES QUE GENEREN LAS ÁREAS Y/O DEPARTAMENTOS DE LA UNIVERSIDAD.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78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DEPARTAMENTOS Y/O ÁREAS DE LA UNIVERSIDAD DE LA CAÑADA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LAS ESTADISTICAS QUE SE GENEREN EN UN ÁREA O DEPARTAMENTO CONFORME A SUS FACULTADES Y ATRIBUCIONES.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4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Informe de avances programáticos o presupuestales, balances generales y su estado financiero;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FINANCIEROS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>AVANCES PROGRAMÁTICOS O PRESUPUESTALES, BALANZA GENERAL Y ESTADOS FINANCIEROS.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47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Padrón de proveedores y contratistas;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BD7EE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RECURSOS MATERIALES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BD7EE3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 xml:space="preserve">LA SECRETARIA DE ADMINISTRACION ES LA RESPONSABLE DE ACTUALIZAR EL CATALOGO DE PROVEEDORES Y CONTRATISTAS POR LO QUE SE REDIRECCIONA AL SIGUIENTE LINK: </w:t>
            </w:r>
            <w:hyperlink r:id="rId7" w:history="1">
              <w:r w:rsidRPr="00CB29BD">
                <w:rPr>
                  <w:rStyle w:val="Hipervnculo"/>
                  <w:rFonts w:eastAsia="Times New Roman" w:cstheme="minorHAnsi"/>
                  <w:color w:val="auto"/>
                  <w:sz w:val="16"/>
                  <w:szCs w:val="18"/>
                  <w:lang w:eastAsia="es-MX"/>
                </w:rPr>
                <w:t>http://www.transparenciapresupuestaria.oaxaca.gob.mx/02_co6.php</w:t>
              </w:r>
            </w:hyperlink>
            <w:r w:rsidRPr="00CB29BD">
              <w:rPr>
                <w:rFonts w:eastAsia="Times New Roman" w:cstheme="minorHAnsi"/>
                <w:sz w:val="16"/>
                <w:szCs w:val="18"/>
                <w:lang w:eastAsia="es-MX"/>
              </w:rPr>
              <w:t>, ASI TAMBIEN SE PUBLICA EL PADRON DE PROVEEDORES Y CONTRATISTAS CON LOS QUE CUENTA LA UNIVERSIDAD DE LA CAÑADA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948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convenios de coordinación de concertación con los sectores social y privado;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MATERIALES, COORDINACIÓN DE PROMOCIÓN AL DESARROLLO, VICE-RECTORÍA ACADÉMICA Y 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CONVENIOS ELABORADOS DE ACUERDO CON LO PUBLICADO EN LA FRACC XXVII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732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XXXIV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inventario de bienes muebles e inmuebles en posesión y propiedad;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RECURSOS MATERIALES, DEPARTAMENTO DE PROYECTOS, CONSTRUCCIÓN Y MANTENIMIENTO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INFORMACION DEL INVENTARIO EMITIDO DEL SISTEMA INTEGRAL DE CONTROL DE INVENTARIO PATRIMONIAL DE OAXACA (SICIPO)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230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RECTORÍA, ABOGADO GENERAL, VICE-RECTORÍA ACADÉMICA Y 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ACTUALMENTE NO SE HAN TENIDO RECOMENDACIONES DE PARTE DE LA COMISIÓN DE NACIONAL DE LOS DERECHOS HUMANOS (CNDH)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297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XXXVI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resoluciones y laudos que se emitan en procesos o procedimientos seguidos en forma de juicio;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ABOGADO GENERAL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EN LA UNIVERSIDAD DE LA CAÑADA NO SE HAN TENIDO RESOLUCIONES O LAUDOS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2125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highlight w:val="yellow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XXXVII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mecanismos de participación ciudadana;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 xml:space="preserve"> 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DERIVADO DEL DECRETO DE CREACIÓN, ESTA INSTITUCIÓN EDUCATIVA TIENDE A LA FORMACIÓN ACADÉMICA, CIENTÍFICA, CULTURAL Y EL DESARROLLO DE LA SOCIEDAD, Y NO INVOLUCRA MECANISMOS DE PARTICIPACIÓN CIUDADANA </w:t>
            </w:r>
            <w:r w:rsidRPr="00CB29BD">
              <w:rPr>
                <w:rFonts w:eastAsia="Times New Roman" w:cstheme="minorHAnsi"/>
                <w:sz w:val="16"/>
                <w:szCs w:val="16"/>
                <w:lang w:eastAsia="es-MX"/>
              </w:rPr>
              <w:t>DE MANERA INSTITUCIONAL, PUES SE DEJA A LIBRE ALBEDRIO INDIVIDUAL LA PARTICIPACION SOCIAL INSTITUCIONAL, GENERALMENTE SE ABORDA POR CONDUCTO DE LA COORDINACION DE PROMOCION AL DESARROLLO.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ARTÍCULOS 4, 47, 48 Y 49 DE LA LEY ORGÁNICA DEL PODER EJECUTIVO DEL ESTADO DE OAXACA; Y ARTÍCULOS 2, 4 Y 5 DEL DECRETO DE CREACIÓN DE LA UNIVERSIDAD DE LA CAÑADA DE FECHA 23 DE FEBRERO DEL AÑO 2006.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032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XXXVIII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ACADÉMICA Y LA COORDINACIÓN DE PROMOCIÓN AL DESARROLLO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LA COORDINACIÓN DE PROMOCIÓN AL DESARROLLO TIENE LA FINALIDAD DE OFRECER ASESORÍAS, PROMOVEER PROYECTOS PRODUCTIVOS, TALLERES, CONFERENCIAS, ETC., SIN EMBARGO, ESTOS NO SON PROGRAMAS COMO TALES.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1047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XXXIX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actas y resoluciones del Comité de Transparencia de los sujetos obligados;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SECRETARIO TÉCNICO DEL COMITÉ DE TRANSPARENCIA DE LA UNIVERSIDAD DE LA CAÑADA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F618A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DE LAS ACTAS DE LAS SESIONES DEL SUB-COMITÉ DE LA UNIVERSIDAD DE LA CAÑADA.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65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Todas las evaluaciones y encuestas que hagan los sujetos obligados a programas financiados con recursos públicos;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883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estudios financiados con recursos públicos;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VICE-RECTORÍA ACADÉMICA, VICE-RECTORÍA DE ADMINISTRACIÓN Y COORDINACIÓN DE PROMOCIÓN DEL DESARROLLO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59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listado de jubilados y pensionados y el monto que reciben;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DEPARTAMENTO DE RECURSOS HUMANOS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 PARCIALMENTE YA QUE LOS MONTOS QUE RECIBEN SON INFORMACION PERSONAL QUE TIENE EL I.M.S.S.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81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VICE-RECTORIA DE ADMINISTRACIÓN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theme="minorHAnsi"/>
                <w:sz w:val="16"/>
                <w:szCs w:val="16"/>
                <w:lang w:eastAsia="es-MX"/>
              </w:rPr>
              <w:t>TODOS LOS INGRESOS DE RECURSOS QUE OBTENGA LA UNIVERSIDAD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41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A4522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A4522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XLIV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Donaciones hechas a terceros en dinero o en especie;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A452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  <w:p w:rsidR="00CB29BD" w:rsidRPr="00CB29BD" w:rsidRDefault="00CB29BD" w:rsidP="00A452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A452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A4522B">
            <w:pPr>
              <w:pStyle w:val="Textoindependiente"/>
              <w:ind w:left="0"/>
              <w:rPr>
                <w:rFonts w:eastAsia="Times New Roman" w:cs="Times New Roman"/>
                <w:sz w:val="16"/>
                <w:szCs w:val="15"/>
                <w:lang w:val="es-MX"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436D2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A4522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A4522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Ley de presupuesto y responsabilidad hacendaria articulo 75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446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XLV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El catálogo de disposición y guía de archivo documental;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COMITÉ TÉCNICO DE ARCHIVOS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CATÁLOGO DE DISPOSICIÓN DOCUMENTAL (CADIDO)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651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XLVI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SECRETARIO TÉCNICO DEL H. CONSEJO ACADÉMICO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 xml:space="preserve">INFORMACION REFERENTE A LAS ACTAS DEL H. CONSEJO ACADEMICO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389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lastRenderedPageBreak/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XLVII </w:t>
            </w:r>
            <w:r w:rsidRPr="00CB29BD">
              <w:rPr>
                <w:rFonts w:eastAsia="Times New Roman" w:cs="Arial"/>
                <w:i/>
                <w:iCs/>
                <w:sz w:val="16"/>
                <w:szCs w:val="16"/>
                <w:lang w:eastAsia="es-MX"/>
              </w:rPr>
              <w:t>Para efectos estadísticos, el listado de solicitudes a las empresas concesionarias de telecomunicaciones y proveedores de servicios o aplicaciones de Internet para la intervención de comunicaciones privadas, el acceso al registro de comunicaciones y la localización geográfica en tiempo real de equipos de comunicación, que contenga exclusivamente el objeto, el alcance temporal y los fundamentos legales del requerimiento, así como, en su caso, la mención de que cuenta con la autorización judicial correspondiente, y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pStyle w:val="Textoindependiente"/>
              <w:ind w:left="0" w:right="119"/>
              <w:rPr>
                <w:rFonts w:asciiTheme="minorHAnsi" w:eastAsia="Times New Roman" w:hAnsiTheme="minorHAnsi" w:cs="Times New Roman"/>
                <w:sz w:val="16"/>
                <w:szCs w:val="16"/>
                <w:lang w:val="es-MX" w:eastAsia="es-MX"/>
              </w:rPr>
            </w:pPr>
            <w:r w:rsidRPr="00CB29BD">
              <w:rPr>
                <w:rFonts w:asciiTheme="minorHAnsi" w:eastAsia="Times New Roman" w:hAnsiTheme="minorHAnsi" w:cs="Times New Roman"/>
                <w:sz w:val="16"/>
                <w:szCs w:val="16"/>
                <w:lang w:val="es-MX" w:eastAsia="es-MX"/>
              </w:rPr>
              <w:t>LA UNIVERSIDAD DE LA CAÑADA ES UNA INSTITUCION QUE IMPARTE EDUCACIÓN SUPERIOR Y NO EL DE EJERCICIO DE LA JUSTICIA. POR LO TANTO, ESTA INFORMACIÓN CORRESPONDE A INSTANCIAS DE PROCURACIÓN E IMPARTICIÓN DE JUSTICIA.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ARTICULOS 2, 4 Y 5 DEL DECRETO DE CREACIÓN DE LA UNIVERSIDAD DE LA CAÑADA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  <w:tr w:rsidR="00CB29BD" w:rsidRPr="00CB29BD" w:rsidTr="00CB29BD">
        <w:trPr>
          <w:cantSplit/>
          <w:trHeight w:val="905"/>
          <w:jc w:val="center"/>
        </w:trPr>
        <w:tc>
          <w:tcPr>
            <w:tcW w:w="1489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>Artículo 70</w:t>
            </w: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br/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br/>
              <w:t>…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es-MX"/>
              </w:rPr>
              <w:t xml:space="preserve">Fracción XLVIII </w:t>
            </w:r>
            <w:r w:rsidRPr="00CB29BD">
              <w:rPr>
                <w:rFonts w:eastAsia="Times New Roman" w:cs="Times New Roman"/>
                <w:i/>
                <w:iCs/>
                <w:sz w:val="16"/>
                <w:szCs w:val="16"/>
                <w:lang w:eastAsia="es-MX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APLICA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CB29BD" w:rsidRPr="00CB29BD" w:rsidRDefault="00CB29BD" w:rsidP="00377CB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CB29BD" w:rsidRPr="00CB29BD" w:rsidRDefault="00CB29BD" w:rsidP="00D0413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TODAS LAS AREAS Y/O DEPARTAMENTOS DE LA UNIVERSIDAD DE LA CAÑADA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B29BD" w:rsidRPr="00CB29BD" w:rsidRDefault="00CB29BD" w:rsidP="00115E0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INFORMACIÓN QUE SEA DE CARÁCTER PÚBLICO, QUE NO FORME PARTE DE LAS FRACCIONES ANTERIORES Y QUE PUEDA REALZAR LA LABOR DE LA UNIVERSIDAD.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B29BD" w:rsidRPr="00CB29BD" w:rsidRDefault="00CB29BD" w:rsidP="00CB29BD">
            <w:pPr>
              <w:jc w:val="center"/>
            </w:pPr>
            <w:r w:rsidRPr="00CB29BD">
              <w:rPr>
                <w:rFonts w:eastAsia="Times New Roman" w:cs="Times New Roman"/>
                <w:sz w:val="16"/>
                <w:szCs w:val="16"/>
                <w:lang w:eastAsia="es-MX"/>
              </w:rPr>
              <w:t>VALIDADA</w:t>
            </w:r>
          </w:p>
        </w:tc>
      </w:tr>
    </w:tbl>
    <w:p w:rsidR="00CB29BD" w:rsidRPr="00CB29BD" w:rsidRDefault="00CB29BD" w:rsidP="00CB29BD">
      <w:pPr>
        <w:pStyle w:val="CuerpoA"/>
        <w:tabs>
          <w:tab w:val="left" w:pos="216"/>
        </w:tabs>
        <w:spacing w:after="0" w:line="240" w:lineRule="auto"/>
        <w:ind w:firstLine="70"/>
        <w:jc w:val="both"/>
        <w:rPr>
          <w:color w:val="auto"/>
        </w:rPr>
      </w:pPr>
    </w:p>
    <w:p w:rsidR="00CB29BD" w:rsidRPr="00CB29BD" w:rsidRDefault="00CB29BD" w:rsidP="00CB29BD">
      <w:pPr>
        <w:pStyle w:val="CuerpoA"/>
        <w:tabs>
          <w:tab w:val="left" w:pos="216"/>
        </w:tabs>
        <w:spacing w:after="0" w:line="240" w:lineRule="auto"/>
        <w:ind w:firstLine="70"/>
        <w:jc w:val="both"/>
        <w:rPr>
          <w:color w:val="auto"/>
        </w:rPr>
      </w:pPr>
      <w:r w:rsidRPr="00CB29BD">
        <w:rPr>
          <w:color w:val="auto"/>
        </w:rPr>
        <w:t xml:space="preserve">La validación de la  presente  tabla de aplicabilidad es susceptible de ser modificada cuando lo considere viable este Órgano Garante con base a la normatividad en la materia. </w:t>
      </w:r>
    </w:p>
    <w:p w:rsidR="00CB29BD" w:rsidRPr="00CB29BD" w:rsidRDefault="00CB29BD" w:rsidP="00CB29BD">
      <w:pPr>
        <w:jc w:val="right"/>
        <w:rPr>
          <w:b/>
          <w:i/>
          <w:sz w:val="18"/>
          <w:szCs w:val="18"/>
        </w:rPr>
      </w:pPr>
      <w:r w:rsidRPr="00CB29BD">
        <w:t xml:space="preserve">Oaxaca de Juárez </w:t>
      </w:r>
      <w:proofErr w:type="spellStart"/>
      <w:r w:rsidRPr="00CB29BD">
        <w:t>Oax</w:t>
      </w:r>
      <w:proofErr w:type="spellEnd"/>
      <w:r w:rsidRPr="00CB29BD">
        <w:t>., dieciocho  de enero  de dos mil diecisiete.</w:t>
      </w:r>
    </w:p>
    <w:p w:rsidR="00CB29BD" w:rsidRPr="00CB29BD" w:rsidRDefault="00CB29BD" w:rsidP="00CB29BD">
      <w:pPr>
        <w:jc w:val="center"/>
        <w:rPr>
          <w:sz w:val="24"/>
          <w:szCs w:val="24"/>
        </w:rPr>
      </w:pPr>
      <w:r w:rsidRPr="00CB29BD">
        <w:t xml:space="preserve">ELABORÓ                                                                                                                                               </w:t>
      </w:r>
      <w:proofErr w:type="spellStart"/>
      <w:r w:rsidRPr="00CB29BD">
        <w:t>Vo</w:t>
      </w:r>
      <w:proofErr w:type="spellEnd"/>
      <w:r w:rsidRPr="00CB29BD">
        <w:t>. Bo.</w:t>
      </w:r>
    </w:p>
    <w:p w:rsidR="00CB29BD" w:rsidRPr="00CB29BD" w:rsidRDefault="00CB29BD" w:rsidP="00CB29BD">
      <w:pPr>
        <w:jc w:val="center"/>
      </w:pPr>
    </w:p>
    <w:p w:rsidR="00CB29BD" w:rsidRPr="00CB29BD" w:rsidRDefault="00CB29BD" w:rsidP="00CB29BD">
      <w:pPr>
        <w:jc w:val="center"/>
        <w:rPr>
          <w:b/>
          <w:sz w:val="18"/>
          <w:szCs w:val="18"/>
        </w:rPr>
      </w:pPr>
      <w:r w:rsidRPr="00CB29BD">
        <w:t>LIC. THOMAS AGUILAR MENDOZA</w:t>
      </w:r>
      <w:r w:rsidRPr="00CB29BD">
        <w:tab/>
      </w:r>
      <w:r w:rsidRPr="00CB29BD">
        <w:tab/>
      </w:r>
      <w:r w:rsidRPr="00CB29BD">
        <w:tab/>
        <w:t xml:space="preserve">                                                     LIC.  RICARDO DORANTES JIMENEZ</w:t>
      </w:r>
    </w:p>
    <w:p w:rsidR="004E7272" w:rsidRPr="00CB29BD" w:rsidRDefault="004E7272" w:rsidP="00934078">
      <w:pPr>
        <w:tabs>
          <w:tab w:val="left" w:pos="9562"/>
        </w:tabs>
        <w:spacing w:after="0"/>
        <w:jc w:val="center"/>
        <w:rPr>
          <w:b/>
          <w:sz w:val="18"/>
          <w:szCs w:val="18"/>
        </w:rPr>
      </w:pPr>
    </w:p>
    <w:p w:rsidR="004E7272" w:rsidRPr="00CB29BD" w:rsidRDefault="004E7272" w:rsidP="00934078">
      <w:pPr>
        <w:tabs>
          <w:tab w:val="left" w:pos="9562"/>
        </w:tabs>
        <w:spacing w:after="0"/>
        <w:jc w:val="center"/>
        <w:rPr>
          <w:b/>
          <w:sz w:val="18"/>
          <w:szCs w:val="18"/>
        </w:rPr>
      </w:pPr>
    </w:p>
    <w:sectPr w:rsidR="004E7272" w:rsidRPr="00CB29BD" w:rsidSect="004E7272">
      <w:headerReference w:type="default" r:id="rId8"/>
      <w:footerReference w:type="default" r:id="rId9"/>
      <w:pgSz w:w="15840" w:h="12240" w:orient="landscape" w:code="1"/>
      <w:pgMar w:top="2268" w:right="720" w:bottom="1135" w:left="720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3D" w:rsidRDefault="006F6F3D" w:rsidP="00AB50CA">
      <w:pPr>
        <w:spacing w:after="0" w:line="240" w:lineRule="auto"/>
      </w:pPr>
      <w:r>
        <w:separator/>
      </w:r>
    </w:p>
  </w:endnote>
  <w:endnote w:type="continuationSeparator" w:id="0">
    <w:p w:rsidR="006F6F3D" w:rsidRDefault="006F6F3D" w:rsidP="00A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CF" w:rsidRDefault="000A18CF">
    <w:pPr>
      <w:pStyle w:val="Piedepgina"/>
      <w:ind w:right="-864"/>
      <w:jc w:val="right"/>
    </w:pPr>
  </w:p>
  <w:p w:rsidR="00934078" w:rsidRPr="000A18CF" w:rsidRDefault="000A18CF" w:rsidP="000A18CF">
    <w:pPr>
      <w:pStyle w:val="Piedepgina"/>
      <w:jc w:val="center"/>
      <w:rPr>
        <w:rFonts w:ascii="Futura Bk BT" w:hAnsi="Futura Bk BT"/>
        <w:color w:val="7F7F7F" w:themeColor="text1" w:themeTint="80"/>
        <w:sz w:val="16"/>
      </w:rPr>
    </w:pPr>
    <w:r w:rsidRPr="000A18CF">
      <w:rPr>
        <w:rFonts w:ascii="Futura Bk BT" w:hAnsi="Futura Bk BT"/>
        <w:color w:val="7F7F7F" w:themeColor="text1" w:themeTint="80"/>
        <w:sz w:val="16"/>
        <w:lang w:val="es-ES"/>
      </w:rPr>
      <w:t xml:space="preserve">Página </w:t>
    </w:r>
    <w:r w:rsidR="00A21496" w:rsidRPr="000A18CF">
      <w:rPr>
        <w:rFonts w:ascii="Futura Bk BT" w:hAnsi="Futura Bk BT"/>
        <w:b/>
        <w:bCs/>
        <w:color w:val="7F7F7F" w:themeColor="text1" w:themeTint="80"/>
        <w:sz w:val="16"/>
      </w:rPr>
      <w:fldChar w:fldCharType="begin"/>
    </w:r>
    <w:r w:rsidRPr="000A18CF">
      <w:rPr>
        <w:rFonts w:ascii="Futura Bk BT" w:hAnsi="Futura Bk BT"/>
        <w:b/>
        <w:bCs/>
        <w:color w:val="7F7F7F" w:themeColor="text1" w:themeTint="80"/>
        <w:sz w:val="16"/>
      </w:rPr>
      <w:instrText>PAGE  \* Arabic  \* MERGEFORMAT</w:instrText>
    </w:r>
    <w:r w:rsidR="00A21496" w:rsidRPr="000A18CF">
      <w:rPr>
        <w:rFonts w:ascii="Futura Bk BT" w:hAnsi="Futura Bk BT"/>
        <w:b/>
        <w:bCs/>
        <w:color w:val="7F7F7F" w:themeColor="text1" w:themeTint="80"/>
        <w:sz w:val="16"/>
      </w:rPr>
      <w:fldChar w:fldCharType="separate"/>
    </w:r>
    <w:r w:rsidR="001F7672" w:rsidRPr="001F7672">
      <w:rPr>
        <w:rFonts w:ascii="Futura Bk BT" w:hAnsi="Futura Bk BT"/>
        <w:b/>
        <w:bCs/>
        <w:noProof/>
        <w:color w:val="7F7F7F" w:themeColor="text1" w:themeTint="80"/>
        <w:sz w:val="16"/>
        <w:lang w:val="es-ES"/>
      </w:rPr>
      <w:t>1</w:t>
    </w:r>
    <w:r w:rsidR="00A21496" w:rsidRPr="000A18CF">
      <w:rPr>
        <w:rFonts w:ascii="Futura Bk BT" w:hAnsi="Futura Bk BT"/>
        <w:b/>
        <w:bCs/>
        <w:color w:val="7F7F7F" w:themeColor="text1" w:themeTint="80"/>
        <w:sz w:val="16"/>
      </w:rPr>
      <w:fldChar w:fldCharType="end"/>
    </w:r>
    <w:r w:rsidRPr="000A18CF">
      <w:rPr>
        <w:rFonts w:ascii="Futura Bk BT" w:hAnsi="Futura Bk BT"/>
        <w:color w:val="7F7F7F" w:themeColor="text1" w:themeTint="80"/>
        <w:sz w:val="16"/>
        <w:lang w:val="es-ES"/>
      </w:rPr>
      <w:t xml:space="preserve"> de </w:t>
    </w:r>
    <w:r w:rsidR="001F7672">
      <w:fldChar w:fldCharType="begin"/>
    </w:r>
    <w:r w:rsidR="001F7672">
      <w:instrText>NUMPAGES  \* Arabic  \* MERGEFORMAT</w:instrText>
    </w:r>
    <w:r w:rsidR="001F7672">
      <w:fldChar w:fldCharType="separate"/>
    </w:r>
    <w:r w:rsidR="001F7672" w:rsidRPr="001F7672">
      <w:rPr>
        <w:rFonts w:ascii="Futura Bk BT" w:hAnsi="Futura Bk BT"/>
        <w:b/>
        <w:bCs/>
        <w:noProof/>
        <w:color w:val="7F7F7F" w:themeColor="text1" w:themeTint="80"/>
        <w:sz w:val="16"/>
        <w:lang w:val="es-ES"/>
      </w:rPr>
      <w:t>11</w:t>
    </w:r>
    <w:r w:rsidR="001F7672">
      <w:rPr>
        <w:rFonts w:ascii="Futura Bk BT" w:hAnsi="Futura Bk BT"/>
        <w:b/>
        <w:bCs/>
        <w:noProof/>
        <w:color w:val="7F7F7F" w:themeColor="text1" w:themeTint="80"/>
        <w:sz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3D" w:rsidRDefault="006F6F3D" w:rsidP="00AB50CA">
      <w:pPr>
        <w:spacing w:after="0" w:line="240" w:lineRule="auto"/>
      </w:pPr>
      <w:r>
        <w:separator/>
      </w:r>
    </w:p>
  </w:footnote>
  <w:footnote w:type="continuationSeparator" w:id="0">
    <w:p w:rsidR="006F6F3D" w:rsidRDefault="006F6F3D" w:rsidP="00AB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CA" w:rsidRDefault="00AB50CA" w:rsidP="00AB50CA">
    <w:pPr>
      <w:ind w:left="567" w:right="576"/>
      <w:jc w:val="center"/>
      <w:rPr>
        <w:rFonts w:ascii="Century Gothic" w:hAnsi="Century Gothic"/>
        <w:b/>
        <w:sz w:val="32"/>
      </w:rPr>
    </w:pPr>
    <w:r w:rsidRPr="00531AA4">
      <w:rPr>
        <w:noProof/>
        <w:sz w:val="32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367068</wp:posOffset>
          </wp:positionH>
          <wp:positionV relativeFrom="paragraph">
            <wp:posOffset>-258512</wp:posOffset>
          </wp:positionV>
          <wp:extent cx="827111" cy="873457"/>
          <wp:effectExtent l="1905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CA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111" cy="873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1AA4">
      <w:rPr>
        <w:rFonts w:ascii="Century Gothic" w:hAnsi="Century Gothic"/>
        <w:b/>
        <w:sz w:val="32"/>
      </w:rPr>
      <w:t xml:space="preserve">U N I V E R S I D A D   </w:t>
    </w:r>
    <w:proofErr w:type="spellStart"/>
    <w:r w:rsidRPr="00531AA4">
      <w:rPr>
        <w:rFonts w:ascii="Century Gothic" w:hAnsi="Century Gothic"/>
        <w:b/>
        <w:sz w:val="32"/>
      </w:rPr>
      <w:t>D</w:t>
    </w:r>
    <w:proofErr w:type="spellEnd"/>
    <w:r w:rsidRPr="00531AA4">
      <w:rPr>
        <w:rFonts w:ascii="Century Gothic" w:hAnsi="Century Gothic"/>
        <w:b/>
        <w:sz w:val="32"/>
      </w:rPr>
      <w:t xml:space="preserve"> E   L A   C A Ñ A D A</w:t>
    </w:r>
  </w:p>
  <w:p w:rsidR="00AB50CA" w:rsidRPr="00531AA4" w:rsidRDefault="001F7672" w:rsidP="00F24942">
    <w:pPr>
      <w:pStyle w:val="Subttulo"/>
      <w:tabs>
        <w:tab w:val="left" w:pos="12616"/>
      </w:tabs>
      <w:ind w:left="1843" w:right="1642"/>
      <w:jc w:val="center"/>
      <w:rPr>
        <w:rFonts w:ascii="Calisto MT" w:hAnsi="Calisto MT"/>
        <w:smallCaps/>
        <w:spacing w:val="22"/>
      </w:rPr>
    </w:pPr>
    <w:r>
      <w:rPr>
        <w:rFonts w:ascii="Calisto MT" w:hAnsi="Calisto MT"/>
        <w:smallCaps/>
        <w:noProof/>
        <w:spacing w:val="22"/>
        <w:sz w:val="18"/>
        <w:lang w:eastAsia="es-MX"/>
      </w:rPr>
      <w:pict>
        <v:group id="Group 1" o:spid="_x0000_s4097" style="position:absolute;left:0;text-align:left;margin-left:0;margin-top:39.2pt;width:714.15pt;height:5pt;z-index:251661312;mso-position-horizontal:left;mso-position-horizontal-relative:margin" coordorigin="253,14289" coordsize="9416,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">
          <v:line id="Line 2" o:spid="_x0000_s4099" style="position:absolute;flip:x;visibility:visible;mso-wrap-style:square" from="253,14289" to="9433,1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PXisMAAADbAAAADwAAAGRycy9kb3ducmV2LnhtbERPTWvCQBC9F/wPywi91Y2WhhJdQ1EE&#10;sZdWI+JtyI5JbHY27G40/ffdQqG3ebzPWeSDacWNnG8sK5hOEhDEpdUNVwqKw+bpFYQPyBpby6Tg&#10;mzzky9HDAjNt7/xJt32oRAxhn6GCOoQuk9KXNRn0E9sRR+5incEQoaukdniP4aaVsyRJpcGGY0ON&#10;Ha1qKr/2vVFwrORzWviP9LzbXd37S7E+9Ke1Uo/j4W0OItAQ/sV/7q2O82fw+0s8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z14rDAAAA2wAAAA8AAAAAAAAAAAAA&#10;AAAAoQIAAGRycy9kb3ducmV2LnhtbFBLBQYAAAAABAAEAPkAAACRAwAAAAA=&#10;" strokecolor="#938953 [1614]" strokeweight="1.5pt">
            <v:shadow opacity=".5" offset="-6pt,-6p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alt="barra_unca" style="position:absolute;left:541;top:14358;width:9128;height: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rl7DAAAA2wAAAA8AAABkcnMvZG93bnJldi54bWxET0trwkAQvhf6H5Yp9FY32mJLdBXxQdRb&#10;0lLobcyOSTA7G7KrSf+9Kwje5uN7znTem1pcqHWVZQXDQQSCOLe64kLBz/fm7QuE88gaa8uk4J8c&#10;zGfPT1OMte04pUvmCxFC2MWooPS+iaV0eUkG3cA2xIE72tagD7AtpG6xC+GmlqMoGkuDFYeGEhta&#10;lpSfsrNRUC9+P9LDcJ2sjz6yq+TzL0v2O6VeX/rFBISn3j/Ed/dWh/nvcPslHC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CuXsMAAADbAAAADwAAAAAAAAAAAAAAAACf&#10;AgAAZHJzL2Rvd25yZXYueG1sUEsFBgAAAAAEAAQA9wAAAI8DAAAAAA==&#10;" strokeweight="1pt">
            <v:imagedata r:id="rId2" o:title="barra_unca"/>
          </v:shape>
          <w10:wrap anchorx="margin"/>
        </v:group>
      </w:pict>
    </w:r>
    <w:r w:rsidR="00AB50CA">
      <w:t xml:space="preserve"> TABLA DE APLICABILIDAD DE LAS OBLIGACIONES DE TRANSPARENCIA COMUNES DE LA UNIVERSIDAD DE LA CAÑADA</w:t>
    </w:r>
  </w:p>
  <w:p w:rsidR="00AB50CA" w:rsidRDefault="00AB5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04"/>
    <w:rsid w:val="00012405"/>
    <w:rsid w:val="00021F6A"/>
    <w:rsid w:val="00030587"/>
    <w:rsid w:val="00040E3E"/>
    <w:rsid w:val="00043E97"/>
    <w:rsid w:val="00043FEB"/>
    <w:rsid w:val="00044A8C"/>
    <w:rsid w:val="00045A4B"/>
    <w:rsid w:val="000475C1"/>
    <w:rsid w:val="0005186E"/>
    <w:rsid w:val="00066359"/>
    <w:rsid w:val="00075DF6"/>
    <w:rsid w:val="000765D7"/>
    <w:rsid w:val="000826F1"/>
    <w:rsid w:val="00083DEC"/>
    <w:rsid w:val="000A0200"/>
    <w:rsid w:val="000A18CF"/>
    <w:rsid w:val="000E0289"/>
    <w:rsid w:val="000E27EA"/>
    <w:rsid w:val="000E7563"/>
    <w:rsid w:val="000F7861"/>
    <w:rsid w:val="00115E06"/>
    <w:rsid w:val="001250BD"/>
    <w:rsid w:val="00140F5E"/>
    <w:rsid w:val="0015556C"/>
    <w:rsid w:val="00164F60"/>
    <w:rsid w:val="001724EE"/>
    <w:rsid w:val="00174173"/>
    <w:rsid w:val="00181BEB"/>
    <w:rsid w:val="001A0126"/>
    <w:rsid w:val="001B1A08"/>
    <w:rsid w:val="001E58C4"/>
    <w:rsid w:val="001F1476"/>
    <w:rsid w:val="001F533C"/>
    <w:rsid w:val="001F7672"/>
    <w:rsid w:val="00204446"/>
    <w:rsid w:val="00241AF6"/>
    <w:rsid w:val="00251753"/>
    <w:rsid w:val="00260CE5"/>
    <w:rsid w:val="0026378D"/>
    <w:rsid w:val="0026744E"/>
    <w:rsid w:val="002953A8"/>
    <w:rsid w:val="00296855"/>
    <w:rsid w:val="002A1093"/>
    <w:rsid w:val="002F2096"/>
    <w:rsid w:val="002F30F9"/>
    <w:rsid w:val="002F34FF"/>
    <w:rsid w:val="002F5B50"/>
    <w:rsid w:val="0034728F"/>
    <w:rsid w:val="00351FC7"/>
    <w:rsid w:val="0035573C"/>
    <w:rsid w:val="00377CBB"/>
    <w:rsid w:val="003909AD"/>
    <w:rsid w:val="003A456B"/>
    <w:rsid w:val="003C1ED5"/>
    <w:rsid w:val="003D4B68"/>
    <w:rsid w:val="003E13B0"/>
    <w:rsid w:val="00436D26"/>
    <w:rsid w:val="00465309"/>
    <w:rsid w:val="00480278"/>
    <w:rsid w:val="00485230"/>
    <w:rsid w:val="00485325"/>
    <w:rsid w:val="00497158"/>
    <w:rsid w:val="004973C4"/>
    <w:rsid w:val="004A12F9"/>
    <w:rsid w:val="004B1DBA"/>
    <w:rsid w:val="004C4EBE"/>
    <w:rsid w:val="004D1952"/>
    <w:rsid w:val="004E7272"/>
    <w:rsid w:val="004F08BD"/>
    <w:rsid w:val="00511AFE"/>
    <w:rsid w:val="00514952"/>
    <w:rsid w:val="00535D22"/>
    <w:rsid w:val="0056191E"/>
    <w:rsid w:val="00577E56"/>
    <w:rsid w:val="00586D04"/>
    <w:rsid w:val="005A4682"/>
    <w:rsid w:val="005B619B"/>
    <w:rsid w:val="005C776B"/>
    <w:rsid w:val="005D5ACD"/>
    <w:rsid w:val="005F0CA3"/>
    <w:rsid w:val="006028A3"/>
    <w:rsid w:val="00630490"/>
    <w:rsid w:val="00631E99"/>
    <w:rsid w:val="00636C45"/>
    <w:rsid w:val="00643DFB"/>
    <w:rsid w:val="006571CF"/>
    <w:rsid w:val="00657231"/>
    <w:rsid w:val="00684670"/>
    <w:rsid w:val="006939A1"/>
    <w:rsid w:val="006A4C2C"/>
    <w:rsid w:val="006B5924"/>
    <w:rsid w:val="006D136A"/>
    <w:rsid w:val="006E5261"/>
    <w:rsid w:val="006F6F3D"/>
    <w:rsid w:val="0071791C"/>
    <w:rsid w:val="00717F7F"/>
    <w:rsid w:val="00737DE1"/>
    <w:rsid w:val="00753598"/>
    <w:rsid w:val="00755FEF"/>
    <w:rsid w:val="007E1281"/>
    <w:rsid w:val="007E7C14"/>
    <w:rsid w:val="0080384F"/>
    <w:rsid w:val="00807DEF"/>
    <w:rsid w:val="00811BB6"/>
    <w:rsid w:val="00815C9E"/>
    <w:rsid w:val="00822975"/>
    <w:rsid w:val="00833AD9"/>
    <w:rsid w:val="0083521D"/>
    <w:rsid w:val="008375A5"/>
    <w:rsid w:val="00850E48"/>
    <w:rsid w:val="0086030A"/>
    <w:rsid w:val="0087368B"/>
    <w:rsid w:val="008977C2"/>
    <w:rsid w:val="008B1A00"/>
    <w:rsid w:val="008E3C29"/>
    <w:rsid w:val="008F73A0"/>
    <w:rsid w:val="009025F3"/>
    <w:rsid w:val="00931367"/>
    <w:rsid w:val="009332D7"/>
    <w:rsid w:val="00934078"/>
    <w:rsid w:val="009465D5"/>
    <w:rsid w:val="00950D6A"/>
    <w:rsid w:val="00954CC1"/>
    <w:rsid w:val="00960BE1"/>
    <w:rsid w:val="009856D7"/>
    <w:rsid w:val="00987DC8"/>
    <w:rsid w:val="0099078E"/>
    <w:rsid w:val="009936C2"/>
    <w:rsid w:val="009A3655"/>
    <w:rsid w:val="009B1A11"/>
    <w:rsid w:val="009C3C6C"/>
    <w:rsid w:val="009C6CC5"/>
    <w:rsid w:val="009D668B"/>
    <w:rsid w:val="009E2338"/>
    <w:rsid w:val="00A0538B"/>
    <w:rsid w:val="00A21496"/>
    <w:rsid w:val="00A2603A"/>
    <w:rsid w:val="00A418BC"/>
    <w:rsid w:val="00A4522B"/>
    <w:rsid w:val="00A612E8"/>
    <w:rsid w:val="00A62F4A"/>
    <w:rsid w:val="00A81766"/>
    <w:rsid w:val="00A87669"/>
    <w:rsid w:val="00A902C8"/>
    <w:rsid w:val="00AA0D16"/>
    <w:rsid w:val="00AB50CA"/>
    <w:rsid w:val="00AC2459"/>
    <w:rsid w:val="00AC24EA"/>
    <w:rsid w:val="00AD65BC"/>
    <w:rsid w:val="00AE5BCC"/>
    <w:rsid w:val="00B01A67"/>
    <w:rsid w:val="00B027A0"/>
    <w:rsid w:val="00B20347"/>
    <w:rsid w:val="00B26FFF"/>
    <w:rsid w:val="00B57E41"/>
    <w:rsid w:val="00B74519"/>
    <w:rsid w:val="00B83B31"/>
    <w:rsid w:val="00B84E60"/>
    <w:rsid w:val="00B97AF3"/>
    <w:rsid w:val="00BC1ABB"/>
    <w:rsid w:val="00BC6B35"/>
    <w:rsid w:val="00BD7EE3"/>
    <w:rsid w:val="00BE6DE9"/>
    <w:rsid w:val="00C17A9E"/>
    <w:rsid w:val="00C23B58"/>
    <w:rsid w:val="00C2641B"/>
    <w:rsid w:val="00C264E9"/>
    <w:rsid w:val="00C374E4"/>
    <w:rsid w:val="00C621EA"/>
    <w:rsid w:val="00C65E44"/>
    <w:rsid w:val="00C66DDE"/>
    <w:rsid w:val="00C80EB5"/>
    <w:rsid w:val="00C83B9D"/>
    <w:rsid w:val="00C87718"/>
    <w:rsid w:val="00C94F60"/>
    <w:rsid w:val="00CA0043"/>
    <w:rsid w:val="00CA02AF"/>
    <w:rsid w:val="00CA51ED"/>
    <w:rsid w:val="00CA700E"/>
    <w:rsid w:val="00CB29BD"/>
    <w:rsid w:val="00CC58D1"/>
    <w:rsid w:val="00CF129C"/>
    <w:rsid w:val="00CF7939"/>
    <w:rsid w:val="00D00934"/>
    <w:rsid w:val="00D04133"/>
    <w:rsid w:val="00D15BCB"/>
    <w:rsid w:val="00D24A07"/>
    <w:rsid w:val="00D30671"/>
    <w:rsid w:val="00D70A2B"/>
    <w:rsid w:val="00D840AC"/>
    <w:rsid w:val="00D8581A"/>
    <w:rsid w:val="00D87297"/>
    <w:rsid w:val="00D9419B"/>
    <w:rsid w:val="00DB7179"/>
    <w:rsid w:val="00DD6FE1"/>
    <w:rsid w:val="00DE2A64"/>
    <w:rsid w:val="00DE4040"/>
    <w:rsid w:val="00DF2BB3"/>
    <w:rsid w:val="00DF387C"/>
    <w:rsid w:val="00E029AA"/>
    <w:rsid w:val="00E3603D"/>
    <w:rsid w:val="00E42D42"/>
    <w:rsid w:val="00E435BE"/>
    <w:rsid w:val="00E54D05"/>
    <w:rsid w:val="00E6512D"/>
    <w:rsid w:val="00E66D84"/>
    <w:rsid w:val="00E774C4"/>
    <w:rsid w:val="00E9431B"/>
    <w:rsid w:val="00EA17DD"/>
    <w:rsid w:val="00EB1E59"/>
    <w:rsid w:val="00EB6049"/>
    <w:rsid w:val="00EF1F0E"/>
    <w:rsid w:val="00EF207B"/>
    <w:rsid w:val="00F014F6"/>
    <w:rsid w:val="00F07324"/>
    <w:rsid w:val="00F24942"/>
    <w:rsid w:val="00F24DB9"/>
    <w:rsid w:val="00F618AA"/>
    <w:rsid w:val="00F637F7"/>
    <w:rsid w:val="00F64C51"/>
    <w:rsid w:val="00F657E2"/>
    <w:rsid w:val="00FC37AE"/>
    <w:rsid w:val="00FD348C"/>
    <w:rsid w:val="00FD602E"/>
    <w:rsid w:val="00FF39DE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37AE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AE"/>
    <w:rPr>
      <w:rFonts w:ascii="Arial" w:eastAsia="Arial" w:hAnsi="Arial"/>
      <w:sz w:val="21"/>
      <w:szCs w:val="21"/>
      <w:lang w:val="en-US"/>
    </w:rPr>
  </w:style>
  <w:style w:type="paragraph" w:styleId="Prrafodelista">
    <w:name w:val="List Paragraph"/>
    <w:basedOn w:val="Normal"/>
    <w:uiPriority w:val="34"/>
    <w:qFormat/>
    <w:rsid w:val="00B027A0"/>
    <w:pPr>
      <w:ind w:left="720"/>
      <w:contextualSpacing/>
    </w:pPr>
  </w:style>
  <w:style w:type="character" w:customStyle="1" w:styleId="A0">
    <w:name w:val="A0"/>
    <w:uiPriority w:val="99"/>
    <w:rsid w:val="00C65E44"/>
    <w:rPr>
      <w:rFonts w:cs="Myriad Pro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5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0CA"/>
  </w:style>
  <w:style w:type="paragraph" w:styleId="Piedepgina">
    <w:name w:val="footer"/>
    <w:basedOn w:val="Normal"/>
    <w:link w:val="PiedepginaCar"/>
    <w:uiPriority w:val="99"/>
    <w:unhideWhenUsed/>
    <w:rsid w:val="00AB5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0CA"/>
  </w:style>
  <w:style w:type="paragraph" w:styleId="Subttulo">
    <w:name w:val="Subtitle"/>
    <w:basedOn w:val="Normal"/>
    <w:next w:val="Normal"/>
    <w:link w:val="SubttuloCar"/>
    <w:uiPriority w:val="11"/>
    <w:qFormat/>
    <w:rsid w:val="00AB50CA"/>
    <w:pPr>
      <w:numPr>
        <w:ilvl w:val="1"/>
      </w:numPr>
    </w:pPr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50CA"/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7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7CBB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BE6DE9"/>
    <w:rPr>
      <w:i/>
      <w:iCs/>
      <w:color w:val="808080" w:themeColor="text1" w:themeTint="7F"/>
    </w:rPr>
  </w:style>
  <w:style w:type="paragraph" w:customStyle="1" w:styleId="CuerpoA">
    <w:name w:val="Cuerpo A"/>
    <w:rsid w:val="00CB29BD"/>
    <w:rPr>
      <w:rFonts w:ascii="Calibri" w:eastAsia="Calibri" w:hAnsi="Calibri" w:cs="Calibri"/>
      <w:color w:val="000000"/>
      <w:u w:color="00000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37AE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AE"/>
    <w:rPr>
      <w:rFonts w:ascii="Arial" w:eastAsia="Arial" w:hAnsi="Arial"/>
      <w:sz w:val="21"/>
      <w:szCs w:val="21"/>
      <w:lang w:val="en-US"/>
    </w:rPr>
  </w:style>
  <w:style w:type="paragraph" w:styleId="Prrafodelista">
    <w:name w:val="List Paragraph"/>
    <w:basedOn w:val="Normal"/>
    <w:uiPriority w:val="34"/>
    <w:qFormat/>
    <w:rsid w:val="00B027A0"/>
    <w:pPr>
      <w:ind w:left="720"/>
      <w:contextualSpacing/>
    </w:pPr>
  </w:style>
  <w:style w:type="character" w:customStyle="1" w:styleId="A0">
    <w:name w:val="A0"/>
    <w:uiPriority w:val="99"/>
    <w:rsid w:val="00C65E44"/>
    <w:rPr>
      <w:rFonts w:cs="Myriad Pro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5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0CA"/>
  </w:style>
  <w:style w:type="paragraph" w:styleId="Piedepgina">
    <w:name w:val="footer"/>
    <w:basedOn w:val="Normal"/>
    <w:link w:val="PiedepginaCar"/>
    <w:uiPriority w:val="99"/>
    <w:unhideWhenUsed/>
    <w:rsid w:val="00AB5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0CA"/>
  </w:style>
  <w:style w:type="paragraph" w:styleId="Subttulo">
    <w:name w:val="Subtitle"/>
    <w:basedOn w:val="Normal"/>
    <w:next w:val="Normal"/>
    <w:link w:val="SubttuloCar"/>
    <w:uiPriority w:val="11"/>
    <w:qFormat/>
    <w:rsid w:val="00AB50CA"/>
    <w:pPr>
      <w:numPr>
        <w:ilvl w:val="1"/>
      </w:numPr>
    </w:pPr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50CA"/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7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7CBB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BE6D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ciapresupuestaria.oaxaca.gob.mx/02_co6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3014</Words>
  <Characters>16579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Cotaipo</cp:lastModifiedBy>
  <cp:revision>10</cp:revision>
  <cp:lastPrinted>2017-01-18T16:53:00Z</cp:lastPrinted>
  <dcterms:created xsi:type="dcterms:W3CDTF">2016-09-23T17:26:00Z</dcterms:created>
  <dcterms:modified xsi:type="dcterms:W3CDTF">2017-01-18T16:54:00Z</dcterms:modified>
</cp:coreProperties>
</file>